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</w:pPr>
      <w:r>
        <w:rPr>
          <w:rFonts w:ascii="Arial" w:cs="Arial" w:eastAsia="Arial" w:hAnsi="Arial"/>
          <w:b/>
          <w:bCs/>
          <w:color w:val="0E7C7B"/>
          <w:sz w:val="30"/>
          <w:szCs w:val="30"/>
        </w:rPr>
        <w:t xml:space="preserve">Botulinum Toxin A — Salivary Gland Injection</w:t>
      </w:r>
    </w:p>
    <w:p>
      <w:pPr>
        <w:pBdr>
          <w:bottom w:val="single" w:color="C8A24B" w:sz="16" w:space="4"/>
        </w:pBdr>
        <w:spacing w:after="140"/>
      </w:pPr>
      <w:r>
        <w:rPr>
          <w:rFonts w:ascii="Arial" w:cs="Arial" w:eastAsia="Arial" w:hAnsi="Arial"/>
          <w:color w:val="666666"/>
          <w:sz w:val="17"/>
          <w:szCs w:val="17"/>
        </w:rPr>
        <w:t xml:space="preserve">Clinic Preparation &amp; Screening Sheet  |  Pediatric Sialorrhea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Patient: ______________________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Weight: __________ kg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Date: __________________</w:t>
            </w:r>
          </w:p>
        </w:tc>
      </w:tr>
    </w:tbl>
    <w:p>
      <w:pPr>
        <w:spacing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E7C7B" w:sz="4"/>
              <w:left w:val="single" w:color="0E7C7B" w:sz="30"/>
              <w:bottom w:val="single" w:color="0E7C7B" w:sz="4"/>
              <w:right w:val="single" w:color="0E7C7B" w:sz="4"/>
            </w:tcBorders>
            <w:shd w:fill="EAF3F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E7C7B"/>
                <w:sz w:val="19"/>
                <w:szCs w:val="19"/>
              </w:rPr>
              <w:t xml:space="preserve">Pediatric adjustments — read first</w:t>
            </w:r>
          </w:p>
          <w:p>
            <w:pPr>
              <w:spacing w:after="30"/>
              <w:ind w:left="200" w:hanging="160"/>
            </w:pPr>
            <w:r>
              <w:rPr>
                <w:rFonts w:ascii="Arial" w:cs="Arial" w:eastAsia="Arial" w:hAnsi="Arial"/>
                <w:color w:val="C8A24B"/>
                <w:sz w:val="17"/>
                <w:szCs w:val="17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Ultrasound-first: the metric landmarks (angle-to-gnathion %, mm distances, 20–35% / 1.5 cm rule) come from adult cadavers and do not transfer to children. US is more accurate and safer in small, variable anatomy and lets you adjust depth in real time.</w:t>
            </w:r>
          </w:p>
          <w:p>
            <w:pPr>
              <w:spacing w:after="30"/>
              <w:ind w:left="200" w:hanging="160"/>
            </w:pPr>
            <w:r>
              <w:rPr>
                <w:rFonts w:ascii="Arial" w:cs="Arial" w:eastAsia="Arial" w:hAnsi="Arial"/>
                <w:color w:val="C8A24B"/>
                <w:sz w:val="17"/>
                <w:szCs w:val="17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Scale the depth: submandibular depth is shallower than the adult 1.5–2.0 cm — advance only into the gland substance.</w:t>
            </w:r>
          </w:p>
          <w:p>
            <w:pPr>
              <w:spacing w:after="30"/>
              <w:ind w:left="200" w:hanging="160"/>
            </w:pPr>
            <w:r>
              <w:rPr>
                <w:rFonts w:ascii="Arial" w:cs="Arial" w:eastAsia="Arial" w:hAnsi="Arial"/>
                <w:color w:val="C8A24B"/>
                <w:sz w:val="17"/>
                <w:szCs w:val="17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Carry-over landmark: palpate the facial artery to localize the SMG (the part that still applies in kids); needle ~0.5 cm anterior and 1–1.5 cm inferior to it.</w:t>
            </w:r>
          </w:p>
          <w:p>
            <w:pPr>
              <w:spacing w:after="30"/>
              <w:ind w:left="200" w:hanging="160"/>
            </w:pPr>
            <w:r>
              <w:rPr>
                <w:rFonts w:ascii="Arial" w:cs="Arial" w:eastAsia="Arial" w:hAnsi="Arial"/>
                <w:color w:val="C8A24B"/>
                <w:sz w:val="17"/>
                <w:szCs w:val="17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Parotid relative landmark still orients (midpoint of the tragus–mandibular-angle line, ~earlobe height, a fingerbreadth anterior) but absolute spacing shrinks with patient size.</w:t>
            </w:r>
          </w:p>
          <w:p>
            <w:pPr>
              <w:spacing w:after="30"/>
              <w:ind w:left="200" w:hanging="160"/>
            </w:pPr>
            <w:r>
              <w:rPr>
                <w:rFonts w:ascii="Arial" w:cs="Arial" w:eastAsia="Arial" w:hAnsi="Arial"/>
                <w:color w:val="C8A24B"/>
                <w:sz w:val="17"/>
                <w:szCs w:val="17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Intraoral counter-pressure helps localize the gland when palpation is difficult under anesthesia.</w:t>
            </w:r>
          </w:p>
        </w:tc>
      </w:tr>
    </w:tbl>
    <w:p>
      <w:pPr>
        <w:pBdr>
          <w:bottom w:val="single" w:color="C0392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C0392B"/>
          <w:sz w:val="23"/>
          <w:szCs w:val="23"/>
        </w:rPr>
        <w:t xml:space="preserve">1.  Pre-injection screening — contraindications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7"/>
          <w:szCs w:val="17"/>
        </w:rPr>
        <w:t xml:space="preserve">All work by impairing neuromuscular transmission; anything that already does so can be potentiated (weakness, dysphagia, rarely respiratory compromise from spread).</w:t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0392B"/>
          <w:sz w:val="18"/>
          <w:szCs w:val="18"/>
        </w:rPr>
        <w:t xml:space="preserve">ABSOLUTE — do NOT proceed if any box is checked: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0392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Myasthenia gravis (postsynaptic ACh-receptor antibodies — effect compounded; risk of crisis)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0392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Lambert-Eaton myasthenic syndrome (presynaptic Ca-channel antibodies — acts at the same site)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0392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Prior hypersensitivity to any botulinum product or component (e.g. human albumin)</w:t>
      </w:r>
    </w:p>
    <w:p>
      <w:pPr>
        <w:spacing w:after="4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8A24B"/>
          <w:sz w:val="18"/>
          <w:szCs w:val="18"/>
        </w:rPr>
        <w:t xml:space="preserve">RELATIVE — review, defer elective injection, or coordinate with anesthesia: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Aminoglycosides — gentamicin, tobramycin, amikacin, neomycin, streptomycin (impair ACh release)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Neuromuscular blockers — rocuronium, vecuronium, pancuronium, succinylcholine (relevant under GA)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Other transmission-affecting drugs — polymyxins, clindamycin, magnesium sulfate, some Ca-channel blockers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Pregnancy or lactation (limited safety data)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Active infection at the injection site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C8A24B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Pre-existing significant dysphagia / aspiration (injection may transiently worsen swallowing)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2.  Patient &amp; consent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Informed consent — off-label use; onset 48–72 h; effect lasts ~3–9 months; repeat injections needed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Weight confirmed and recorded (drives dose calculation)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Baseline severity score recorded (e.g. Drooling Impact Scale) for pre/post comparison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Other causes addressed (nasal obstruction, dental disease, GERD, allergic rhinitis)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3.  Dosing — product-specific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17"/>
          <w:szCs w:val="17"/>
        </w:rPr>
        <w:t xml:space="preserve">Doses are NOT interchangeable between products (onabotulinumtoxinA / BOTOX, incobotulinumtoxinA / Xeomin, abobotulinumtoxinA / Dysport, rimabotulinumtoxinB / Myobloc). Calculate the dose for the specific product and patient weight using the dose calculator, then record the result on this sheet.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Product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Total dose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Per gland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________________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________ U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SMG ____  /  Parotid ____</w:t>
            </w:r>
          </w:p>
        </w:tc>
      </w:tr>
    </w:tbl>
    <w:p>
      <w:pPr>
        <w:spacing w:after="40" w:before="5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6"/>
          <w:szCs w:val="16"/>
        </w:rPr>
        <w:t xml:space="preserve">Confirm every figure against the current product label and your local protocol; titrate at follow-up.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4.  Reconstitution (per 100 U vial, 0.9% saline — preferably preserved)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6"/>
          <w:szCs w:val="16"/>
        </w:rPr>
        <w:t xml:space="preserve">Applies to 100 U vials (ona-/incobotulinumtoxinA). Dysport and Myobloc use different unit systems and reconstitution — follow their labels.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Saline added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Concentration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Units per 0.1 mL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2.5 mL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most dilute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4 U / 0.1 mL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2.0 mL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intermediate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5 U / 0.1 mL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1.0 mL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most concentrated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 U / 0.1 mL</w:t>
            </w:r>
          </w:p>
        </w:tc>
      </w:tr>
    </w:tbl>
    <w:p>
      <w:r>
        <w:br w:type="page"/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5.  Equipment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Botulinum toxin A vial(s)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0.9% saline (preferably bacteriostatic/preserved) for reconstitution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1 mL syringes + 20 G needles (drawing up) and 30 G 0.5-inch needles (injecting)  — or insulin syringes with 31 G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Alcohol pads, gauze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Ice packs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Topical anesthetic (optional) — tetracaine 4% gel or EMLA (lidocaine/prilocaine)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Skin marker / pencil (optional)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6.  Anesthesia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Local vs general decided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If topical: cumulative lidocaine dose checked (toxicity risk in small children)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7.  Guidance, positioning &amp; technique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Guidance chosen: landmarks/palpation · EMG · ultrasound (US most accurate/safest)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If US: machine ready; glands, masseter, facial artery pre-identified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Position: decubitus, head turned to contralateral side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Aspirate before each injection (facial artery runs near the SMG)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SMG landmark: ~20–35% of the angle-to-gnathion line, ~1.5 cm below the mandibular border; palpate facial artery to localize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Parotid landmark: midpoint of the tragus–mandibular-angle line, ~earlobe height; inject ~1 fingerbreadth anterior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Keep child in position a few minutes after injection</w:t>
      </w:r>
    </w:p>
    <w:p>
      <w:pPr>
        <w:pBdr>
          <w:bottom w:val="single" w:color="0E7C7B" w:sz="12" w:space="4"/>
        </w:pBdr>
        <w:spacing w:after="100" w:before="180"/>
      </w:pPr>
      <w:r>
        <w:rPr>
          <w:rFonts w:ascii="Arial" w:cs="Arial" w:eastAsia="Arial" w:hAnsi="Arial"/>
          <w:b/>
          <w:bCs/>
          <w:color w:val="0E7C7B"/>
          <w:sz w:val="23"/>
          <w:szCs w:val="23"/>
        </w:rPr>
        <w:t xml:space="preserve">8.  After &amp; follow-up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Counsel: effect begins 48–72 h, peaks over 1–2 weeks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Watch for transient dysphagia, xerostomia, aspiration</w:t>
      </w:r>
    </w:p>
    <w:p>
      <w:pPr>
        <w:spacing w:after="30"/>
        <w:ind w:left="200" w:hanging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color w:val="222222"/>
          <w:sz w:val="18"/>
          <w:szCs w:val="18"/>
        </w:rPr>
        <w:t xml:space="preserve">Schedule review (~1 month) with repeat severity score to assess response</w:t>
      </w:r>
    </w:p>
    <w:p>
      <w:pPr>
        <w:spacing w:after="40" w:before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15"/>
          <w:szCs w:val="15"/>
        </w:rPr>
        <w:t xml:space="preserve">This sheet is a clinical aid summarizing standard practice; verify doses and product details against the current product label and local protocol before use.</w:t>
      </w:r>
    </w:p>
    <w:p>
      <w:r>
        <w:br w:type="page"/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E7C7B"/>
          <w:sz w:val="34"/>
          <w:szCs w:val="34"/>
        </w:rPr>
        <w:t xml:space="preserve">Drooling Impact Scale (DIS)</w:t>
      </w:r>
    </w:p>
    <w:p>
      <w:pPr>
        <w:bidi/>
        <w:spacing w:after="20"/>
        <w:jc w:val="left"/>
      </w:pPr>
      <w:r>
        <w:rPr>
          <w:rFonts w:ascii="Arial" w:cs="Arial" w:eastAsia="Arial" w:hAnsi="Arial"/>
          <w:b/>
          <w:bCs/>
          <w:color w:val="0E7C7B"/>
          <w:sz w:val="30"/>
          <w:szCs w:val="30"/>
          <w:rtl/>
        </w:rPr>
        <w:t xml:space="preserve">مقياس تأثير سيلان اللعاب</w:t>
      </w:r>
    </w:p>
    <w:p>
      <w:pPr>
        <w:pBdr>
          <w:bottom w:val="single" w:color="C8A24B" w:sz="18" w:space="4"/>
        </w:pBdr>
        <w:spacing w:after="16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Parent / caregiver questionnaire  —  استبيان الوالد / مقدّم الرعاية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Child’s name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اسم الطفل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Medical record no.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رقم السجل الطبي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Age / Sex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العمر / الجنس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التاريخ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Assessment (e.g. baseline / 1-month post-Botox)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التقييم (مثال: قبل العلاج / بعد شهر من حقن البوتوكس)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Completed by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تمت التعبئة بواسطة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after="160"/>
      </w:pPr>
    </w:p>
    <w:p>
      <w:pPr>
        <w:spacing w:after="30"/>
        <w:jc w:val="left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>Instructions: Please think about your child’s drooling over the past week. For each question, circle the number that best describes your child (1 = least, 10 = most).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  <w:rtl/>
        </w:rPr>
        <w:t xml:space="preserve">التعليمات: فكّر في سيلان لعاب طفلك خلال الأسبوع الماضي. لكل سؤال، ضع دائرة حول الرقم الذي يصف حالة طفلك بأفضل شكل (١ = الأقل، ١٠ = الأكثر).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1.  How frequently did your child dribble?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مدى تكرار سيلان اللعاب لدى طفلك؟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لا يحدث إطلاقاً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Constantly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باستمرار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2.  How severe was the drooling?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درجة شدة سيلان اللعاب؟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Remained dry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يبقى جافاً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Profuse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غزير جداً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3.  How many times a day did you have to change bibs or clothing due to drooling?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كم مرة في اليوم اضطررت لتغيير المريلة أو الملابس بسبب سيلان اللعاب؟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Once or 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مرة أو لا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10 or more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١٠ أو أكثر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4.  How offensive was the smell of the saliva on your child?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مدى إزعاج رائحة اللعاب على طفلك؟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offensive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غير مزعجة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Very offensive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مزعجة جداً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5.  How much skin irritation has your child had due to drooling?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مقدار تهيّج الجلد لدى طفلك بسبب سيلان اللعاب؟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None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لا يوجد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Severe rash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طفح شديد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6.  How frequently did your child’s mouth need wiping?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مدى تكرار حاجة فم طفلك إلى المسح؟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لا يحتاج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All the time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طوال الوقت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7.  How embarrassed did your child seem to be about his/her dribbling?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مدى شعور طفلك بالإحراج من سيلان لعابه؟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لا يشعر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Very embarrassed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محرج جداً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8.  How much do you have to wipe or clean saliva from household items (toys, furniture, computers)?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ما مقدار حاجتك لمسح أو تنظيف اللعاب عن الأغراض المنزلية (الألعاب، الأثاث، الحاسوب)؟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لا أحتاج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All the time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طوال الوقت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9.  To what extent did your child’s drooling affect his/her life?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إلى أي مدى أثّر سيلان اللعاب على حياة طفلك؟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لم يؤثر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Greatly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أثّر بشكل كبير</w:t>
            </w:r>
          </w:p>
        </w:tc>
      </w:tr>
    </w:tbl>
    <w:p>
      <w:pPr>
        <w:spacing w:after="140"/>
      </w:pP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10.  To what extent did your child’s dribbling affect you and your family’s life?</w:t>
      </w:r>
    </w:p>
    <w:p>
      <w:pPr>
        <w:bidi/>
        <w:spacing w:after="60"/>
        <w:jc w:val="right"/>
      </w:pPr>
      <w:r>
        <w:rPr>
          <w:rFonts w:ascii="Arial" w:cs="Arial" w:eastAsia="Arial" w:hAnsi="Arial"/>
          <w:b/>
          <w:bCs/>
          <w:color w:val="111111"/>
          <w:sz w:val="21"/>
          <w:szCs w:val="21"/>
          <w:rtl/>
        </w:rPr>
        <w:t xml:space="preserve">إلى أي مدى أثّر سيلان اللعاب على حياتك وحياة عائلتك؟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30"/>
      </w:tblGrid>
      <w:tr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6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Not at all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لم يؤثر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2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3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6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7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8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9</w:t>
            </w:r>
          </w:p>
        </w:tc>
        <w:tc>
          <w:tcPr>
            <w:tcW w:type="dxa" w:w="6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20"/>
              <w:bottom w:type="dxa" w:w="6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1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</w:rPr>
              <w:t xml:space="preserve">Greatly</w:t>
            </w:r>
          </w:p>
          <w:p>
            <w:pPr>
              <w:bidi/>
              <w:spacing w:after="0"/>
              <w:jc w:val="left"/>
            </w:pPr>
            <w:r>
              <w:rPr>
                <w:rFonts w:ascii="Arial" w:cs="Arial" w:eastAsia="Arial" w:hAnsi="Arial"/>
                <w:color w:val="777777"/>
                <w:sz w:val="15"/>
                <w:szCs w:val="15"/>
                <w:rtl/>
              </w:rPr>
              <w:t xml:space="preserve">أثّر بشكل كبير</w:t>
            </w:r>
          </w:p>
        </w:tc>
      </w:tr>
    </w:tbl>
    <w:p>
      <w:pPr>
        <w:spacing w:after="140"/>
      </w:pPr>
    </w:p>
    <w:p>
      <w:pPr>
        <w:pBdr>
          <w:bottom w:val="single" w:color="0E7C7B" w:sz="14" w:space="6"/>
        </w:pBdr>
        <w:spacing w:after="120" w:before="0"/>
      </w:pPr>
      <w:r>
        <w:rPr>
          <w:rFonts w:ascii="Arial" w:cs="Arial" w:eastAsia="Arial" w:hAnsi="Arial"/>
          <w:b/>
          <w:bCs/>
          <w:color w:val="0E7C7B"/>
          <w:sz w:val="30"/>
          <w:szCs w:val="30"/>
        </w:rPr>
        <w:t xml:space="preserve">Scoring  —  حساب الدرجة</w:t>
      </w:r>
    </w:p>
    <w:p>
      <w:pPr>
        <w:spacing w:after="30"/>
        <w:jc w:val="left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>Total score = sum of all 10 items. Range 10–100. Higher scores indicate greater drooling impact. Compare the total before and after treatment to gauge change.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  <w:rtl/>
        </w:rPr>
        <w:t xml:space="preserve">الدرجة الكلية = مجموع البنود العشرة. المدى من ١٠ إلى ١٠٠. الدرجة الأعلى تعني تأثيراً أكبر لسيلان اللعاب. قارن الدرجة قبل العلاج وبعده لقياس مدى التغيّر.</w:t>
      </w:r>
    </w:p>
    <w:tbl>
      <w:tblPr>
        <w:tblW w:type="dxa" w:w="4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</w:tblGrid>
      <w:tr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3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SCORE</w:t>
            </w:r>
          </w:p>
          <w:p>
            <w:pPr>
              <w:bidi/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  <w:rtl/>
              </w:rPr>
              <w:t xml:space="preserve">الدرجة الكلية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______ / 100</w:t>
            </w:r>
          </w:p>
        </w:tc>
      </w:tr>
    </w:tbl>
    <w:p>
      <w:r>
        <w:br w:type="page"/>
      </w:r>
    </w:p>
    <w:p>
      <w:pPr>
        <w:pBdr>
          <w:bottom w:val="single" w:color="0E7C7B" w:sz="14" w:space="6"/>
        </w:pBdr>
        <w:spacing w:after="120"/>
      </w:pPr>
      <w:r>
        <w:rPr>
          <w:rFonts w:ascii="Arial" w:cs="Arial" w:eastAsia="Arial" w:hAnsi="Arial"/>
          <w:b/>
          <w:bCs/>
          <w:color w:val="0E7C7B"/>
          <w:sz w:val="26"/>
          <w:szCs w:val="26"/>
        </w:rPr>
        <w:t xml:space="preserve">Notes on the Arabic version &amp; validation pathway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Status of this translation</w:t>
      </w:r>
    </w:p>
    <w:p>
      <w:pPr>
        <w:spacing w:after="140"/>
        <w:jc w:val="left"/>
      </w:pPr>
      <w:r>
        <w:rPr>
          <w:rFonts w:ascii="Arial" w:cs="Arial" w:eastAsia="Arial" w:hAnsi="Arial"/>
          <w:b w:val="false"/>
          <w:bCs w:val="false"/>
          <w:color w:val="333333"/>
          <w:sz w:val="19"/>
          <w:szCs w:val="19"/>
        </w:rPr>
        <w:t xml:space="preserve">This is a forward translation of the original 10-item Drooling Impact Scale (Reid et al., 2008) for clinical use. It is NOT yet a formally validated Arabic instrument. No published, psychometrically validated Arabic DIS currently exists; validated versions exist in English, French, and Turkish. Treat this form as a working clinical tool until a local validation is completed.</w:t>
      </w:r>
    </w:p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Recommended forward / back-translation protocol (ISPOR / Beaton)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1. Forward translation.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Two independent bilingual translators (one clinical, one naïve to the construct) produce Arabic versions T1 and T2 from the English original.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2. Synthesis.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Translators plus a recording observer reconcile T1 and T2 into a single agreed version (T-12), documenting each discrepancy.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3. Back-translation.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Two independent translators, blind to the original, translate T-12 back to English (BT1, BT2).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4. Expert committee review.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ENT/rehab clinician, methodologist, language professional, and translators review semantic, idiomatic, experiential, and conceptual equivalence; produce the pre-final version.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5. Cognitive debriefing / pre-test.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Administer to 5–10 caregivers; check comprehension and cultural acceptability of each item (e.g. “bibs”, household items); revise wording as needed.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C8A24B"/>
          <w:sz w:val="19"/>
          <w:szCs w:val="19"/>
        </w:rPr>
        <w:t xml:space="preserve">6. Field validation.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Administer to a larger sample of children with cerebral palsy / sialorrhea (typically n ≥ 50). Assess internal consistency (Cronbach α), test–retest reliability (ICC, ~1 week apart), construct validity (correlate with DSFS / Teacher’s Drooling Scale), and responsiveness to change (pre- vs ~1-month post-botulinum toxin).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Cultural-adaptation points to watch</w:t>
      </w:r>
    </w:p>
    <w:p>
      <w:pPr>
        <w:spacing w:after="20"/>
        <w:jc w:val="left"/>
      </w:pPr>
      <w:r>
        <w:rPr>
          <w:rFonts w:ascii="Arial" w:cs="Arial" w:eastAsia="Arial" w:hAnsi="Arial"/>
          <w:b w:val="false"/>
          <w:bCs w:val="false"/>
          <w:color w:val="333333"/>
          <w:sz w:val="19"/>
          <w:szCs w:val="19"/>
        </w:rPr>
        <w:t xml:space="preserve">• “Bibs/clothing” (item 3) – confirm the bib concept is natural for older children/teens; consider “napkin/cloth” phrasing.</w:t>
      </w:r>
    </w:p>
    <w:p>
      <w:pPr>
        <w:spacing w:after="20"/>
        <w:jc w:val="left"/>
      </w:pPr>
      <w:r>
        <w:rPr>
          <w:rFonts w:ascii="Arial" w:cs="Arial" w:eastAsia="Arial" w:hAnsi="Arial"/>
          <w:b w:val="false"/>
          <w:bCs w:val="false"/>
          <w:color w:val="333333"/>
          <w:sz w:val="19"/>
          <w:szCs w:val="19"/>
        </w:rPr>
        <w:t xml:space="preserve">• “Household items – toys, furniture, computers” (item 8) – keep examples locally familiar.</w:t>
      </w:r>
    </w:p>
    <w:p>
      <w:pPr>
        <w:spacing w:after="20"/>
        <w:jc w:val="left"/>
      </w:pPr>
      <w:r>
        <w:rPr>
          <w:rFonts w:ascii="Arial" w:cs="Arial" w:eastAsia="Arial" w:hAnsi="Arial"/>
          <w:b w:val="false"/>
          <w:bCs w:val="false"/>
          <w:color w:val="333333"/>
          <w:sz w:val="19"/>
          <w:szCs w:val="19"/>
        </w:rPr>
        <w:t xml:space="preserve">• “Embarrassed” (item 7) – ensure the Arabic term reflects the child’s self-consciousness, not the family’s.</w:t>
      </w:r>
    </w:p>
    <w:p>
      <w:pPr>
        <w:spacing w:after="160"/>
        <w:jc w:val="left"/>
      </w:pPr>
      <w:r>
        <w:rPr>
          <w:rFonts w:ascii="Arial" w:cs="Arial" w:eastAsia="Arial" w:hAnsi="Arial"/>
          <w:b w:val="false"/>
          <w:bCs w:val="false"/>
          <w:color w:val="333333"/>
          <w:sz w:val="19"/>
          <w:szCs w:val="19"/>
        </w:rPr>
        <w:t xml:space="preserve">• Administer as a semi-structured interview by a health professional, as recommended for the validated translations.</w:t>
      </w:r>
    </w:p>
    <w:p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Reference: Reid SM, Johnson HM, Reddihough DS. The Drooling Impact Scale: a measure of the impact of drooling in children with developmental disabilities. Dev Med Child Neurol. 2010.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2026-06-20T21:30:12.117Z</dcterms:created>
  <dcterms:modified xsi:type="dcterms:W3CDTF">2026-06-20T21:30:12.117Z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